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281"/>
      </w:tblGrid>
      <w:tr w:rsidR="002C4848" w:rsidTr="00316B23">
        <w:trPr>
          <w:trHeight w:hRule="exact" w:val="1372"/>
        </w:trPr>
        <w:tc>
          <w:tcPr>
            <w:tcW w:w="7281" w:type="dxa"/>
          </w:tcPr>
          <w:p w:rsidR="002C4848" w:rsidRDefault="002C4848" w:rsidP="002C4848">
            <w:pPr>
              <w:pStyle w:val="Header"/>
              <w:rPr>
                <w:rFonts w:ascii="Trebuchet MS" w:hAnsi="Trebuchet MS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rebuchet MS" w:hAnsi="Trebuchet MS" w:cs="Arial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1B97E501" wp14:editId="2D391B79">
                  <wp:simplePos x="0" y="0"/>
                  <wp:positionH relativeFrom="column">
                    <wp:posOffset>4751705</wp:posOffset>
                  </wp:positionH>
                  <wp:positionV relativeFrom="paragraph">
                    <wp:posOffset>-111760</wp:posOffset>
                  </wp:positionV>
                  <wp:extent cx="1476375" cy="1400175"/>
                  <wp:effectExtent l="0" t="0" r="9525" b="9525"/>
                  <wp:wrapNone/>
                  <wp:docPr id="5" name="Picture 5" descr="WG_positive_40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G_positive_40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00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 xml:space="preserve">Tai ac </w:t>
            </w:r>
            <w:proofErr w:type="spellStart"/>
            <w:r>
              <w:rPr>
                <w:rFonts w:ascii="Trebuchet MS" w:hAnsi="Trebuchet MS" w:cs="Arial"/>
                <w:b/>
                <w:sz w:val="24"/>
                <w:szCs w:val="24"/>
              </w:rPr>
              <w:t>Adfywio</w:t>
            </w:r>
            <w:proofErr w:type="spellEnd"/>
          </w:p>
          <w:p w:rsidR="002C4848" w:rsidRPr="002C4848" w:rsidRDefault="002C4848" w:rsidP="002C4848">
            <w:pPr>
              <w:pStyle w:val="Header"/>
              <w:rPr>
                <w:rFonts w:ascii="Trebuchet MS" w:hAnsi="Trebuchet MS" w:cs="Arial"/>
                <w:b/>
                <w:i/>
                <w:sz w:val="24"/>
                <w:szCs w:val="24"/>
              </w:rPr>
            </w:pPr>
            <w:r w:rsidRPr="002C4848">
              <w:rPr>
                <w:rFonts w:ascii="Trebuchet MS" w:hAnsi="Trebuchet MS" w:cs="Arial"/>
                <w:b/>
                <w:i/>
                <w:sz w:val="24"/>
                <w:szCs w:val="24"/>
              </w:rPr>
              <w:t>Housing and Regeneration</w:t>
            </w:r>
          </w:p>
          <w:p w:rsidR="002C4848" w:rsidRDefault="002C4848" w:rsidP="002C4848">
            <w:pPr>
              <w:pStyle w:val="Head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b/>
                <w:sz w:val="24"/>
                <w:szCs w:val="24"/>
              </w:rPr>
              <w:t>Grwp</w:t>
            </w:r>
            <w:proofErr w:type="spellEnd"/>
            <w:r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sz w:val="24"/>
                <w:szCs w:val="24"/>
              </w:rPr>
              <w:t>Addysg</w:t>
            </w:r>
            <w:proofErr w:type="spellEnd"/>
            <w:r>
              <w:rPr>
                <w:rFonts w:ascii="Trebuchet MS" w:hAnsi="Trebuchet MS" w:cs="Arial"/>
                <w:b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rebuchet MS" w:hAnsi="Trebuchet MS" w:cs="Arial"/>
                <w:b/>
                <w:sz w:val="24"/>
                <w:szCs w:val="24"/>
              </w:rPr>
              <w:t>Gwasanaethau</w:t>
            </w:r>
            <w:proofErr w:type="spellEnd"/>
            <w:r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sz w:val="24"/>
                <w:szCs w:val="24"/>
              </w:rPr>
              <w:t>Cyhoeddus</w:t>
            </w:r>
            <w:proofErr w:type="spellEnd"/>
          </w:p>
          <w:p w:rsidR="002C4848" w:rsidRPr="002C4848" w:rsidRDefault="002C4848" w:rsidP="002C4848">
            <w:pPr>
              <w:pStyle w:val="Header"/>
              <w:rPr>
                <w:i/>
                <w:sz w:val="24"/>
                <w:szCs w:val="24"/>
              </w:rPr>
            </w:pPr>
            <w:r w:rsidRPr="002C4848">
              <w:rPr>
                <w:rFonts w:ascii="Trebuchet MS" w:hAnsi="Trebuchet MS" w:cs="Arial"/>
                <w:b/>
                <w:i/>
                <w:sz w:val="24"/>
                <w:szCs w:val="24"/>
              </w:rPr>
              <w:t>Education and Public Services Group</w:t>
            </w:r>
          </w:p>
        </w:tc>
      </w:tr>
    </w:tbl>
    <w:p w:rsidR="002C4848" w:rsidRDefault="002C4848" w:rsidP="002C4848">
      <w:pPr>
        <w:pStyle w:val="Header"/>
      </w:pPr>
    </w:p>
    <w:p w:rsidR="002C4848" w:rsidRDefault="002C4848" w:rsidP="002C4848">
      <w:pPr>
        <w:pStyle w:val="Header"/>
      </w:pPr>
    </w:p>
    <w:p w:rsidR="002C4848" w:rsidRDefault="002C4848">
      <w:pPr>
        <w:rPr>
          <w:rFonts w:ascii="Arial" w:hAnsi="Arial" w:cs="Arial"/>
          <w:sz w:val="24"/>
          <w:szCs w:val="24"/>
        </w:rPr>
      </w:pPr>
    </w:p>
    <w:p w:rsidR="002C4848" w:rsidRDefault="002C4848">
      <w:pPr>
        <w:rPr>
          <w:rFonts w:ascii="Arial" w:hAnsi="Arial" w:cs="Arial"/>
          <w:sz w:val="24"/>
          <w:szCs w:val="24"/>
        </w:rPr>
      </w:pPr>
    </w:p>
    <w:p w:rsidR="002C4848" w:rsidRDefault="002C4848">
      <w:pPr>
        <w:rPr>
          <w:rFonts w:ascii="Arial" w:hAnsi="Arial" w:cs="Arial"/>
          <w:sz w:val="24"/>
          <w:szCs w:val="24"/>
        </w:rPr>
      </w:pPr>
    </w:p>
    <w:p w:rsidR="002C4848" w:rsidRDefault="002C4848">
      <w:pPr>
        <w:rPr>
          <w:rFonts w:ascii="Arial" w:hAnsi="Arial" w:cs="Arial"/>
          <w:sz w:val="24"/>
          <w:szCs w:val="24"/>
        </w:rPr>
      </w:pPr>
    </w:p>
    <w:p w:rsidR="002C4848" w:rsidRDefault="002C4848">
      <w:pPr>
        <w:rPr>
          <w:rFonts w:ascii="Arial" w:hAnsi="Arial" w:cs="Arial"/>
          <w:sz w:val="24"/>
          <w:szCs w:val="24"/>
        </w:rPr>
      </w:pPr>
    </w:p>
    <w:p w:rsidR="008903BB" w:rsidRPr="00B75623" w:rsidRDefault="00B75623">
      <w:pPr>
        <w:rPr>
          <w:rFonts w:ascii="Arial" w:hAnsi="Arial" w:cs="Arial"/>
          <w:sz w:val="24"/>
          <w:szCs w:val="24"/>
        </w:rPr>
      </w:pPr>
      <w:r w:rsidRPr="00B75623">
        <w:rPr>
          <w:rFonts w:ascii="Arial" w:hAnsi="Arial" w:cs="Arial"/>
          <w:sz w:val="24"/>
          <w:szCs w:val="24"/>
        </w:rPr>
        <w:t xml:space="preserve">Dear </w:t>
      </w:r>
      <w:r w:rsidR="00854A30">
        <w:rPr>
          <w:rFonts w:ascii="Arial" w:hAnsi="Arial" w:cs="Arial"/>
          <w:sz w:val="24"/>
          <w:szCs w:val="24"/>
        </w:rPr>
        <w:t>S</w:t>
      </w:r>
      <w:r w:rsidRPr="00B75623">
        <w:rPr>
          <w:rFonts w:ascii="Arial" w:hAnsi="Arial" w:cs="Arial"/>
          <w:sz w:val="24"/>
          <w:szCs w:val="24"/>
        </w:rPr>
        <w:t>takeholder,</w:t>
      </w:r>
    </w:p>
    <w:p w:rsidR="00B75623" w:rsidRDefault="00B75623">
      <w:pPr>
        <w:rPr>
          <w:rFonts w:ascii="Arial" w:hAnsi="Arial" w:cs="Arial"/>
          <w:sz w:val="24"/>
          <w:szCs w:val="24"/>
        </w:rPr>
      </w:pPr>
      <w:r w:rsidRPr="00B75623">
        <w:rPr>
          <w:rFonts w:ascii="Arial" w:hAnsi="Arial" w:cs="Arial"/>
          <w:sz w:val="24"/>
          <w:szCs w:val="24"/>
        </w:rPr>
        <w:t xml:space="preserve">I am </w:t>
      </w:r>
      <w:r w:rsidR="008903BB">
        <w:rPr>
          <w:rFonts w:ascii="Arial" w:hAnsi="Arial" w:cs="Arial"/>
          <w:sz w:val="24"/>
          <w:szCs w:val="24"/>
        </w:rPr>
        <w:t>writing to update you on</w:t>
      </w:r>
      <w:r w:rsidR="008903BB" w:rsidRPr="00B75623">
        <w:rPr>
          <w:rFonts w:ascii="Arial" w:hAnsi="Arial" w:cs="Arial"/>
          <w:sz w:val="24"/>
          <w:szCs w:val="24"/>
        </w:rPr>
        <w:t xml:space="preserve"> </w:t>
      </w:r>
      <w:r w:rsidRPr="00B75623">
        <w:rPr>
          <w:rFonts w:ascii="Arial" w:hAnsi="Arial" w:cs="Arial"/>
          <w:sz w:val="24"/>
          <w:szCs w:val="24"/>
        </w:rPr>
        <w:t>the implementation of the Renting Homes (Wa</w:t>
      </w:r>
      <w:r w:rsidR="00760E67">
        <w:rPr>
          <w:rFonts w:ascii="Arial" w:hAnsi="Arial" w:cs="Arial"/>
          <w:sz w:val="24"/>
          <w:szCs w:val="24"/>
        </w:rPr>
        <w:t>les) Act 2016</w:t>
      </w:r>
      <w:r w:rsidR="008903BB">
        <w:rPr>
          <w:rFonts w:ascii="Arial" w:hAnsi="Arial" w:cs="Arial"/>
          <w:sz w:val="24"/>
          <w:szCs w:val="24"/>
        </w:rPr>
        <w:t>.</w:t>
      </w:r>
      <w:r w:rsidRPr="00B75623">
        <w:rPr>
          <w:rFonts w:ascii="Arial" w:hAnsi="Arial" w:cs="Arial"/>
          <w:sz w:val="24"/>
          <w:szCs w:val="24"/>
        </w:rPr>
        <w:t xml:space="preserve">  </w:t>
      </w:r>
    </w:p>
    <w:p w:rsidR="00B75623" w:rsidRDefault="00B756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Most of you will be aware that we have undertaken consultations</w:t>
      </w:r>
      <w:r w:rsidR="008903BB">
        <w:rPr>
          <w:rFonts w:ascii="Arial" w:hAnsi="Arial" w:cs="Arial"/>
          <w:sz w:val="24"/>
          <w:szCs w:val="24"/>
        </w:rPr>
        <w:t xml:space="preserve"> on a range of statutory instruments which need to be </w:t>
      </w:r>
      <w:r w:rsidR="002D71A9">
        <w:rPr>
          <w:rFonts w:ascii="Arial" w:hAnsi="Arial" w:cs="Arial"/>
          <w:sz w:val="24"/>
          <w:szCs w:val="24"/>
        </w:rPr>
        <w:t>in place</w:t>
      </w:r>
      <w:r w:rsidR="008903BB">
        <w:rPr>
          <w:rFonts w:ascii="Arial" w:hAnsi="Arial" w:cs="Arial"/>
          <w:sz w:val="24"/>
          <w:szCs w:val="24"/>
        </w:rPr>
        <w:t xml:space="preserve"> in order to implement the Act. These </w:t>
      </w:r>
      <w:r>
        <w:rPr>
          <w:rFonts w:ascii="Arial" w:hAnsi="Arial" w:cs="Arial"/>
          <w:sz w:val="24"/>
          <w:szCs w:val="24"/>
        </w:rPr>
        <w:t>includ</w:t>
      </w:r>
      <w:r w:rsidR="008903B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:</w:t>
      </w:r>
    </w:p>
    <w:p w:rsidR="002D71A9" w:rsidRDefault="002D71A9" w:rsidP="00B7562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Regulations on information required in connection with deposit schemes;</w:t>
      </w:r>
    </w:p>
    <w:p w:rsidR="002D71A9" w:rsidRDefault="002D71A9" w:rsidP="00B7562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Regulations on the review of decisions to extend or terminate introductory and prohibited conduct standard contracts;</w:t>
      </w:r>
    </w:p>
    <w:p w:rsidR="00B75623" w:rsidRDefault="008903BB" w:rsidP="00B7562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Regulations on determining f</w:t>
      </w:r>
      <w:r w:rsidR="00B75623">
        <w:rPr>
          <w:rFonts w:ascii="Arial" w:hAnsi="Arial" w:cs="Arial"/>
          <w:sz w:val="24"/>
          <w:szCs w:val="24"/>
        </w:rPr>
        <w:t xml:space="preserve">itness for </w:t>
      </w:r>
      <w:r>
        <w:rPr>
          <w:rFonts w:ascii="Arial" w:hAnsi="Arial" w:cs="Arial"/>
          <w:sz w:val="24"/>
          <w:szCs w:val="24"/>
        </w:rPr>
        <w:t>h</w:t>
      </w:r>
      <w:r w:rsidR="00B75623">
        <w:rPr>
          <w:rFonts w:ascii="Arial" w:hAnsi="Arial" w:cs="Arial"/>
          <w:sz w:val="24"/>
          <w:szCs w:val="24"/>
        </w:rPr>
        <w:t>abitation</w:t>
      </w:r>
      <w:r w:rsidR="002D71A9">
        <w:rPr>
          <w:rFonts w:ascii="Arial" w:hAnsi="Arial" w:cs="Arial"/>
          <w:sz w:val="24"/>
          <w:szCs w:val="24"/>
        </w:rPr>
        <w:t>;</w:t>
      </w:r>
    </w:p>
    <w:p w:rsidR="00B75623" w:rsidRDefault="008903BB" w:rsidP="00B7562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Regulations on the </w:t>
      </w:r>
      <w:r w:rsidR="002D71A9">
        <w:rPr>
          <w:rFonts w:ascii="Arial" w:hAnsi="Arial" w:cs="Arial"/>
          <w:sz w:val="24"/>
          <w:szCs w:val="24"/>
        </w:rPr>
        <w:t>safeguarding</w:t>
      </w:r>
      <w:r>
        <w:rPr>
          <w:rFonts w:ascii="Arial" w:hAnsi="Arial" w:cs="Arial"/>
          <w:sz w:val="24"/>
          <w:szCs w:val="24"/>
        </w:rPr>
        <w:t xml:space="preserve"> of </w:t>
      </w:r>
      <w:r w:rsidR="002D71A9">
        <w:rPr>
          <w:rFonts w:ascii="Arial" w:hAnsi="Arial" w:cs="Arial"/>
          <w:sz w:val="24"/>
          <w:szCs w:val="24"/>
        </w:rPr>
        <w:t>property in an a</w:t>
      </w:r>
      <w:r w:rsidR="00B75623">
        <w:rPr>
          <w:rFonts w:ascii="Arial" w:hAnsi="Arial" w:cs="Arial"/>
          <w:sz w:val="24"/>
          <w:szCs w:val="24"/>
        </w:rPr>
        <w:t>bandon</w:t>
      </w:r>
      <w:r w:rsidR="002D71A9">
        <w:rPr>
          <w:rFonts w:ascii="Arial" w:hAnsi="Arial" w:cs="Arial"/>
          <w:sz w:val="24"/>
          <w:szCs w:val="24"/>
        </w:rPr>
        <w:t>ed d</w:t>
      </w:r>
      <w:r w:rsidR="00760E67">
        <w:rPr>
          <w:rFonts w:ascii="Arial" w:hAnsi="Arial" w:cs="Arial"/>
          <w:sz w:val="24"/>
          <w:szCs w:val="24"/>
        </w:rPr>
        <w:t>welling</w:t>
      </w:r>
      <w:r w:rsidR="002D71A9">
        <w:rPr>
          <w:rFonts w:ascii="Arial" w:hAnsi="Arial" w:cs="Arial"/>
          <w:sz w:val="24"/>
          <w:szCs w:val="24"/>
        </w:rPr>
        <w:t>; and</w:t>
      </w:r>
    </w:p>
    <w:p w:rsidR="008903BB" w:rsidRDefault="008903BB" w:rsidP="008903B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Statutory guidance on temporary exclusions from supported accommodation</w:t>
      </w:r>
    </w:p>
    <w:p w:rsidR="00B75623" w:rsidRDefault="002D71A9" w:rsidP="00B756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Currently, work is continuing on several further </w:t>
      </w:r>
      <w:r w:rsidR="00854A30">
        <w:rPr>
          <w:rFonts w:ascii="Arial" w:hAnsi="Arial" w:cs="Arial"/>
          <w:sz w:val="24"/>
          <w:szCs w:val="24"/>
        </w:rPr>
        <w:t>sets of regulations, for which c</w:t>
      </w:r>
      <w:r>
        <w:rPr>
          <w:rFonts w:ascii="Arial" w:hAnsi="Arial" w:cs="Arial"/>
          <w:sz w:val="24"/>
          <w:szCs w:val="24"/>
        </w:rPr>
        <w:t>onsultations</w:t>
      </w:r>
      <w:r w:rsidR="00854A30">
        <w:rPr>
          <w:rFonts w:ascii="Arial" w:hAnsi="Arial" w:cs="Arial"/>
          <w:sz w:val="24"/>
          <w:szCs w:val="24"/>
        </w:rPr>
        <w:t xml:space="preserve"> will be conducted over the coming months. These </w:t>
      </w:r>
      <w:r>
        <w:rPr>
          <w:rFonts w:ascii="Arial" w:hAnsi="Arial" w:cs="Arial"/>
          <w:sz w:val="24"/>
          <w:szCs w:val="24"/>
        </w:rPr>
        <w:t>includ</w:t>
      </w:r>
      <w:r w:rsidR="00854A3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:</w:t>
      </w:r>
    </w:p>
    <w:p w:rsidR="00B75623" w:rsidRDefault="002D71A9" w:rsidP="00B7562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Regulations prescribing the s</w:t>
      </w:r>
      <w:r w:rsidR="00B75623">
        <w:rPr>
          <w:rFonts w:ascii="Arial" w:hAnsi="Arial" w:cs="Arial"/>
          <w:sz w:val="24"/>
          <w:szCs w:val="24"/>
        </w:rPr>
        <w:t xml:space="preserve">upplementary </w:t>
      </w:r>
      <w:r>
        <w:rPr>
          <w:rFonts w:ascii="Arial" w:hAnsi="Arial" w:cs="Arial"/>
          <w:sz w:val="24"/>
          <w:szCs w:val="24"/>
        </w:rPr>
        <w:t>t</w:t>
      </w:r>
      <w:r w:rsidR="00B75623">
        <w:rPr>
          <w:rFonts w:ascii="Arial" w:hAnsi="Arial" w:cs="Arial"/>
          <w:sz w:val="24"/>
          <w:szCs w:val="24"/>
        </w:rPr>
        <w:t>erms</w:t>
      </w:r>
      <w:r>
        <w:rPr>
          <w:rFonts w:ascii="Arial" w:hAnsi="Arial" w:cs="Arial"/>
          <w:sz w:val="24"/>
          <w:szCs w:val="24"/>
        </w:rPr>
        <w:t xml:space="preserve"> of occupation contracts;</w:t>
      </w:r>
      <w:r w:rsidR="00854A30">
        <w:rPr>
          <w:rFonts w:ascii="Arial" w:hAnsi="Arial" w:cs="Arial"/>
          <w:sz w:val="24"/>
          <w:szCs w:val="24"/>
        </w:rPr>
        <w:t xml:space="preserve"> and</w:t>
      </w:r>
    </w:p>
    <w:p w:rsidR="00B75623" w:rsidRPr="007951F9" w:rsidRDefault="002D71A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Regulations prescribing model written statements of occupation contracts</w:t>
      </w:r>
      <w:r w:rsidR="00854A30">
        <w:rPr>
          <w:rFonts w:ascii="Arial" w:hAnsi="Arial" w:cs="Arial"/>
          <w:sz w:val="24"/>
          <w:szCs w:val="24"/>
        </w:rPr>
        <w:t>.</w:t>
      </w:r>
    </w:p>
    <w:p w:rsidR="00B75623" w:rsidRDefault="00854A30" w:rsidP="00B756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support implementation, w</w:t>
      </w:r>
      <w:r w:rsidR="00B75623">
        <w:rPr>
          <w:rFonts w:ascii="Arial" w:hAnsi="Arial" w:cs="Arial"/>
          <w:sz w:val="24"/>
          <w:szCs w:val="24"/>
        </w:rPr>
        <w:t xml:space="preserve">e are also working with stakeholders to develop </w:t>
      </w:r>
      <w:r>
        <w:rPr>
          <w:rFonts w:ascii="Arial" w:hAnsi="Arial" w:cs="Arial"/>
          <w:sz w:val="24"/>
          <w:szCs w:val="24"/>
        </w:rPr>
        <w:t>a range of other materials, including</w:t>
      </w:r>
      <w:r w:rsidR="00B75623">
        <w:rPr>
          <w:rFonts w:ascii="Arial" w:hAnsi="Arial" w:cs="Arial"/>
          <w:sz w:val="24"/>
          <w:szCs w:val="24"/>
        </w:rPr>
        <w:t>:</w:t>
      </w:r>
    </w:p>
    <w:p w:rsidR="00B75623" w:rsidRDefault="00854A30" w:rsidP="00B7562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Suggested a</w:t>
      </w:r>
      <w:r w:rsidR="00B75623">
        <w:rPr>
          <w:rFonts w:ascii="Arial" w:hAnsi="Arial" w:cs="Arial"/>
          <w:sz w:val="24"/>
          <w:szCs w:val="24"/>
        </w:rPr>
        <w:t xml:space="preserve">dditional </w:t>
      </w:r>
      <w:r>
        <w:rPr>
          <w:rFonts w:ascii="Arial" w:hAnsi="Arial" w:cs="Arial"/>
          <w:sz w:val="24"/>
          <w:szCs w:val="24"/>
        </w:rPr>
        <w:t>te</w:t>
      </w:r>
      <w:r w:rsidR="00B75623">
        <w:rPr>
          <w:rFonts w:ascii="Arial" w:hAnsi="Arial" w:cs="Arial"/>
          <w:sz w:val="24"/>
          <w:szCs w:val="24"/>
        </w:rPr>
        <w:t xml:space="preserve">rms </w:t>
      </w:r>
      <w:r>
        <w:rPr>
          <w:rFonts w:ascii="Arial" w:hAnsi="Arial" w:cs="Arial"/>
          <w:sz w:val="24"/>
          <w:szCs w:val="24"/>
        </w:rPr>
        <w:t xml:space="preserve">for occupation contracts </w:t>
      </w:r>
      <w:r w:rsidR="00B75623">
        <w:rPr>
          <w:rFonts w:ascii="Arial" w:hAnsi="Arial" w:cs="Arial"/>
          <w:sz w:val="24"/>
          <w:szCs w:val="24"/>
        </w:rPr>
        <w:t>(led by Citizens Advice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Cymru</w:t>
      </w:r>
      <w:proofErr w:type="spellEnd"/>
      <w:r w:rsidR="00B7562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;</w:t>
      </w:r>
    </w:p>
    <w:p w:rsidR="00B75623" w:rsidRDefault="00B75623" w:rsidP="00B7562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854A30">
        <w:rPr>
          <w:rFonts w:ascii="Arial" w:hAnsi="Arial" w:cs="Arial"/>
          <w:sz w:val="24"/>
          <w:szCs w:val="24"/>
        </w:rPr>
        <w:t xml:space="preserve">generic </w:t>
      </w:r>
      <w:r>
        <w:rPr>
          <w:rFonts w:ascii="Arial" w:hAnsi="Arial" w:cs="Arial"/>
          <w:sz w:val="24"/>
          <w:szCs w:val="24"/>
        </w:rPr>
        <w:t xml:space="preserve">training module </w:t>
      </w:r>
      <w:r w:rsidR="00854A30">
        <w:rPr>
          <w:rFonts w:ascii="Arial" w:hAnsi="Arial" w:cs="Arial"/>
          <w:sz w:val="24"/>
          <w:szCs w:val="24"/>
        </w:rPr>
        <w:t xml:space="preserve">on the Act </w:t>
      </w:r>
      <w:r>
        <w:rPr>
          <w:rFonts w:ascii="Arial" w:hAnsi="Arial" w:cs="Arial"/>
          <w:sz w:val="24"/>
          <w:szCs w:val="24"/>
        </w:rPr>
        <w:t>(led by Shelter Cymru)</w:t>
      </w:r>
      <w:r w:rsidR="00854A30">
        <w:rPr>
          <w:rFonts w:ascii="Arial" w:hAnsi="Arial" w:cs="Arial"/>
          <w:sz w:val="24"/>
          <w:szCs w:val="24"/>
        </w:rPr>
        <w:t>; and</w:t>
      </w:r>
    </w:p>
    <w:p w:rsidR="00B75623" w:rsidRDefault="00B75623" w:rsidP="00B7562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854A30">
        <w:rPr>
          <w:rFonts w:ascii="Arial" w:hAnsi="Arial" w:cs="Arial"/>
          <w:sz w:val="24"/>
          <w:szCs w:val="24"/>
        </w:rPr>
        <w:t xml:space="preserve"> short</w:t>
      </w:r>
      <w:r>
        <w:rPr>
          <w:rFonts w:ascii="Arial" w:hAnsi="Arial" w:cs="Arial"/>
          <w:sz w:val="24"/>
          <w:szCs w:val="24"/>
        </w:rPr>
        <w:t xml:space="preserve"> animation</w:t>
      </w:r>
      <w:r w:rsidR="00854A30">
        <w:rPr>
          <w:rFonts w:ascii="Arial" w:hAnsi="Arial" w:cs="Arial"/>
          <w:sz w:val="24"/>
          <w:szCs w:val="24"/>
        </w:rPr>
        <w:t xml:space="preserve"> summarising the changes being introduced by the Act.</w:t>
      </w:r>
    </w:p>
    <w:p w:rsidR="00B75623" w:rsidRDefault="00B75623" w:rsidP="00B756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also working closely with the Ministry of Justice</w:t>
      </w:r>
      <w:r w:rsidR="00123D81">
        <w:rPr>
          <w:rFonts w:ascii="Arial" w:hAnsi="Arial" w:cs="Arial"/>
          <w:sz w:val="24"/>
          <w:szCs w:val="24"/>
        </w:rPr>
        <w:t xml:space="preserve"> and Her Majesty’s Courts and Tribunals Service</w:t>
      </w:r>
      <w:r>
        <w:rPr>
          <w:rFonts w:ascii="Arial" w:hAnsi="Arial" w:cs="Arial"/>
          <w:sz w:val="24"/>
          <w:szCs w:val="24"/>
        </w:rPr>
        <w:t xml:space="preserve"> </w:t>
      </w:r>
      <w:r w:rsidR="00123D81">
        <w:rPr>
          <w:rFonts w:ascii="Arial" w:hAnsi="Arial" w:cs="Arial"/>
          <w:sz w:val="24"/>
          <w:szCs w:val="24"/>
        </w:rPr>
        <w:t xml:space="preserve">regarding changes to court </w:t>
      </w:r>
      <w:r>
        <w:rPr>
          <w:rFonts w:ascii="Arial" w:hAnsi="Arial" w:cs="Arial"/>
          <w:sz w:val="24"/>
          <w:szCs w:val="24"/>
        </w:rPr>
        <w:t>C</w:t>
      </w:r>
      <w:r w:rsidR="00123D81">
        <w:rPr>
          <w:rFonts w:ascii="Arial" w:hAnsi="Arial" w:cs="Arial"/>
          <w:sz w:val="24"/>
          <w:szCs w:val="24"/>
        </w:rPr>
        <w:t xml:space="preserve">ivil </w:t>
      </w:r>
      <w:r>
        <w:rPr>
          <w:rFonts w:ascii="Arial" w:hAnsi="Arial" w:cs="Arial"/>
          <w:sz w:val="24"/>
          <w:szCs w:val="24"/>
        </w:rPr>
        <w:t>P</w:t>
      </w:r>
      <w:r w:rsidR="00123D81">
        <w:rPr>
          <w:rFonts w:ascii="Arial" w:hAnsi="Arial" w:cs="Arial"/>
          <w:sz w:val="24"/>
          <w:szCs w:val="24"/>
        </w:rPr>
        <w:t xml:space="preserve">rocedure </w:t>
      </w:r>
      <w:r>
        <w:rPr>
          <w:rFonts w:ascii="Arial" w:hAnsi="Arial" w:cs="Arial"/>
          <w:sz w:val="24"/>
          <w:szCs w:val="24"/>
        </w:rPr>
        <w:t>R</w:t>
      </w:r>
      <w:r w:rsidR="00123D81">
        <w:rPr>
          <w:rFonts w:ascii="Arial" w:hAnsi="Arial" w:cs="Arial"/>
          <w:sz w:val="24"/>
          <w:szCs w:val="24"/>
        </w:rPr>
        <w:t>ules</w:t>
      </w:r>
      <w:r>
        <w:rPr>
          <w:rFonts w:ascii="Arial" w:hAnsi="Arial" w:cs="Arial"/>
          <w:sz w:val="24"/>
          <w:szCs w:val="24"/>
        </w:rPr>
        <w:t xml:space="preserve"> and IT systems.  </w:t>
      </w:r>
      <w:r w:rsidR="00123D81">
        <w:rPr>
          <w:rFonts w:ascii="Arial" w:hAnsi="Arial" w:cs="Arial"/>
          <w:sz w:val="24"/>
          <w:szCs w:val="24"/>
        </w:rPr>
        <w:t xml:space="preserve">Since this work is non-devolved we are, as yet, unable to give a firm date </w:t>
      </w:r>
      <w:r w:rsidR="00123D81">
        <w:rPr>
          <w:rFonts w:ascii="Arial" w:hAnsi="Arial" w:cs="Arial"/>
          <w:sz w:val="24"/>
          <w:szCs w:val="24"/>
        </w:rPr>
        <w:lastRenderedPageBreak/>
        <w:t>for implementation of the Act. However, I can confirm i</w:t>
      </w:r>
      <w:r w:rsidR="00760E67">
        <w:rPr>
          <w:rFonts w:ascii="Arial" w:hAnsi="Arial" w:cs="Arial"/>
          <w:sz w:val="24"/>
          <w:szCs w:val="24"/>
        </w:rPr>
        <w:t>t will not be before 1 April 2019</w:t>
      </w:r>
      <w:r>
        <w:rPr>
          <w:rFonts w:ascii="Arial" w:hAnsi="Arial" w:cs="Arial"/>
          <w:sz w:val="24"/>
          <w:szCs w:val="24"/>
        </w:rPr>
        <w:t>.</w:t>
      </w:r>
      <w:r w:rsidR="00760E67">
        <w:rPr>
          <w:rFonts w:ascii="Arial" w:hAnsi="Arial" w:cs="Arial"/>
          <w:sz w:val="24"/>
          <w:szCs w:val="24"/>
        </w:rPr>
        <w:t xml:space="preserve"> </w:t>
      </w:r>
      <w:r w:rsidR="00123D81">
        <w:rPr>
          <w:rFonts w:ascii="Arial" w:hAnsi="Arial" w:cs="Arial"/>
          <w:sz w:val="24"/>
          <w:szCs w:val="24"/>
        </w:rPr>
        <w:t xml:space="preserve">To assist you in preparing for implementation, </w:t>
      </w:r>
      <w:r w:rsidR="00760E67">
        <w:rPr>
          <w:rFonts w:ascii="Arial" w:hAnsi="Arial" w:cs="Arial"/>
          <w:sz w:val="24"/>
          <w:szCs w:val="24"/>
        </w:rPr>
        <w:t xml:space="preserve">we </w:t>
      </w:r>
      <w:r w:rsidR="00123D81">
        <w:rPr>
          <w:rFonts w:ascii="Arial" w:hAnsi="Arial" w:cs="Arial"/>
          <w:sz w:val="24"/>
          <w:szCs w:val="24"/>
        </w:rPr>
        <w:t>will</w:t>
      </w:r>
      <w:r w:rsidR="00760E67">
        <w:rPr>
          <w:rFonts w:ascii="Arial" w:hAnsi="Arial" w:cs="Arial"/>
          <w:sz w:val="24"/>
          <w:szCs w:val="24"/>
        </w:rPr>
        <w:t xml:space="preserve"> publish </w:t>
      </w:r>
      <w:r w:rsidR="00123D81">
        <w:rPr>
          <w:rFonts w:ascii="Arial" w:hAnsi="Arial" w:cs="Arial"/>
          <w:sz w:val="24"/>
          <w:szCs w:val="24"/>
        </w:rPr>
        <w:t xml:space="preserve">all </w:t>
      </w:r>
      <w:r w:rsidR="00760E67">
        <w:rPr>
          <w:rFonts w:ascii="Arial" w:hAnsi="Arial" w:cs="Arial"/>
          <w:sz w:val="24"/>
          <w:szCs w:val="24"/>
        </w:rPr>
        <w:t>relevant documentation six months before the implementation date.</w:t>
      </w:r>
      <w:r w:rsidR="00123D81">
        <w:rPr>
          <w:rFonts w:ascii="Arial" w:hAnsi="Arial" w:cs="Arial"/>
          <w:sz w:val="24"/>
          <w:szCs w:val="24"/>
        </w:rPr>
        <w:t xml:space="preserve"> Following implementation, landlords will have up to six months to issue the new contracts to their existing tenants / licensees.</w:t>
      </w:r>
    </w:p>
    <w:p w:rsidR="00B75623" w:rsidRDefault="00123D81" w:rsidP="00B756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hope this is a useful summary of the current position regarding implementation. </w:t>
      </w:r>
      <w:r w:rsidR="00B75623">
        <w:rPr>
          <w:rFonts w:ascii="Arial" w:hAnsi="Arial" w:cs="Arial"/>
          <w:sz w:val="24"/>
          <w:szCs w:val="24"/>
        </w:rPr>
        <w:t>We look forward to be</w:t>
      </w:r>
      <w:r w:rsidR="00B82DF7">
        <w:rPr>
          <w:rFonts w:ascii="Arial" w:hAnsi="Arial" w:cs="Arial"/>
          <w:sz w:val="24"/>
          <w:szCs w:val="24"/>
        </w:rPr>
        <w:t>ing</w:t>
      </w:r>
      <w:r w:rsidR="00B75623">
        <w:rPr>
          <w:rFonts w:ascii="Arial" w:hAnsi="Arial" w:cs="Arial"/>
          <w:sz w:val="24"/>
          <w:szCs w:val="24"/>
        </w:rPr>
        <w:t xml:space="preserve"> able to </w:t>
      </w:r>
      <w:r w:rsidR="00B82DF7">
        <w:rPr>
          <w:rFonts w:ascii="Arial" w:hAnsi="Arial" w:cs="Arial"/>
          <w:sz w:val="24"/>
          <w:szCs w:val="24"/>
        </w:rPr>
        <w:t>provide a definite date for implementation as soon as we are able to do so</w:t>
      </w:r>
      <w:r w:rsidR="00B75623">
        <w:rPr>
          <w:rFonts w:ascii="Arial" w:hAnsi="Arial" w:cs="Arial"/>
          <w:sz w:val="24"/>
          <w:szCs w:val="24"/>
        </w:rPr>
        <w:t>.</w:t>
      </w:r>
    </w:p>
    <w:p w:rsidR="00B75623" w:rsidRDefault="00B75623" w:rsidP="00B756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Yours </w:t>
      </w:r>
    </w:p>
    <w:p w:rsidR="002C4848" w:rsidRDefault="002C4848" w:rsidP="00B75623">
      <w:pPr>
        <w:rPr>
          <w:rFonts w:ascii="Arial" w:hAnsi="Arial" w:cs="Arial"/>
          <w:sz w:val="24"/>
          <w:szCs w:val="24"/>
        </w:rPr>
      </w:pPr>
    </w:p>
    <w:p w:rsidR="002C4848" w:rsidRDefault="002C4848" w:rsidP="002C4848"/>
    <w:bookmarkStart w:id="1" w:name="_MON_1384091771"/>
    <w:bookmarkEnd w:id="1"/>
    <w:p w:rsidR="002C4848" w:rsidRDefault="002C4848" w:rsidP="002C4848">
      <w:r>
        <w:object w:dxaOrig="5063" w:dyaOrig="14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.75pt;height:71.25pt" o:ole="">
            <v:imagedata r:id="rId7" o:title=""/>
          </v:shape>
          <o:OLEObject Type="Embed" ProgID="Word.Document.8" ShapeID="_x0000_i1025" DrawAspect="Content" ObjectID="_1591614120" r:id="rId8">
            <o:FieldCodes>\s</o:FieldCodes>
          </o:OLEObject>
        </w:object>
      </w:r>
    </w:p>
    <w:p w:rsidR="002C4848" w:rsidRDefault="002C4848" w:rsidP="002C4848"/>
    <w:p w:rsidR="002C4848" w:rsidRDefault="002C4848" w:rsidP="002C4848"/>
    <w:p w:rsidR="002C4848" w:rsidRDefault="002C4848" w:rsidP="002C4848"/>
    <w:p w:rsidR="002C4848" w:rsidRPr="002C4848" w:rsidRDefault="002C4848" w:rsidP="002C4848">
      <w:pPr>
        <w:rPr>
          <w:rFonts w:ascii="Arial" w:hAnsi="Arial" w:cs="Arial"/>
          <w:sz w:val="24"/>
          <w:szCs w:val="24"/>
        </w:rPr>
      </w:pPr>
      <w:r w:rsidRPr="002C4848">
        <w:rPr>
          <w:rFonts w:ascii="Arial" w:hAnsi="Arial" w:cs="Arial"/>
          <w:sz w:val="24"/>
          <w:szCs w:val="24"/>
        </w:rPr>
        <w:t>Emma Williams</w:t>
      </w:r>
    </w:p>
    <w:p w:rsidR="002C4848" w:rsidRDefault="002C4848" w:rsidP="002C484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Deputy Director</w:t>
      </w:r>
    </w:p>
    <w:p w:rsidR="002C4848" w:rsidRPr="00B75623" w:rsidRDefault="002C4848" w:rsidP="002C4848">
      <w:pPr>
        <w:spacing w:after="0"/>
        <w:rPr>
          <w:rFonts w:ascii="Arial" w:hAnsi="Arial" w:cs="Arial"/>
          <w:sz w:val="24"/>
          <w:szCs w:val="24"/>
        </w:rPr>
      </w:pPr>
      <w:r w:rsidRPr="002C4848">
        <w:rPr>
          <w:rFonts w:ascii="Arial" w:hAnsi="Arial" w:cs="Arial"/>
          <w:sz w:val="24"/>
          <w:szCs w:val="24"/>
        </w:rPr>
        <w:t>Housing Policy</w:t>
      </w:r>
    </w:p>
    <w:sectPr w:rsidR="002C4848" w:rsidRPr="00B756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B2EA0"/>
    <w:multiLevelType w:val="hybridMultilevel"/>
    <w:tmpl w:val="D4507DFC"/>
    <w:lvl w:ilvl="0" w:tplc="0E3ED250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623"/>
    <w:rsid w:val="00123D81"/>
    <w:rsid w:val="002C4848"/>
    <w:rsid w:val="002D71A9"/>
    <w:rsid w:val="00760E67"/>
    <w:rsid w:val="007951F9"/>
    <w:rsid w:val="00854A30"/>
    <w:rsid w:val="008903BB"/>
    <w:rsid w:val="00B7342B"/>
    <w:rsid w:val="00B75623"/>
    <w:rsid w:val="00B82DF7"/>
    <w:rsid w:val="00D93044"/>
    <w:rsid w:val="00ED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4EDD07-FC04-451F-B855-8C0A2971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6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1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C4848"/>
    <w:pPr>
      <w:tabs>
        <w:tab w:val="center" w:pos="4153"/>
        <w:tab w:val="right" w:pos="8306"/>
      </w:tabs>
      <w:spacing w:after="0" w:line="240" w:lineRule="auto"/>
    </w:pPr>
    <w:rPr>
      <w:rFonts w:ascii="TradeGothic" w:eastAsia="Times New Roman" w:hAnsi="TradeGothic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2C4848"/>
    <w:rPr>
      <w:rFonts w:ascii="TradeGothic" w:eastAsia="Times New Roman" w:hAnsi="TradeGothic" w:cs="Times New Roman"/>
      <w:szCs w:val="20"/>
    </w:rPr>
  </w:style>
  <w:style w:type="paragraph" w:styleId="NoSpacing">
    <w:name w:val="No Spacing"/>
    <w:qFormat/>
    <w:rsid w:val="002C48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A22723806</value>
    </field>
    <field name="Objective-Title">
      <value order="0">2018-06 Letter to stakeholders -  English</value>
    </field>
    <field name="Objective-Description">
      <value order="0"/>
    </field>
    <field name="Objective-CreationStamp">
      <value order="0">2018-06-18T12:30:24Z</value>
    </field>
    <field name="Objective-IsApproved">
      <value order="0">false</value>
    </field>
    <field name="Objective-IsPublished">
      <value order="0">true</value>
    </field>
    <field name="Objective-DatePublished">
      <value order="0">2018-06-25T13:32:54Z</value>
    </field>
    <field name="Objective-ModificationStamp">
      <value order="0">2018-06-25T13:32:54Z</value>
    </field>
    <field name="Objective-Owner">
      <value order="0">Gwyndaf, Siwan (EPS - WLD)</value>
    </field>
    <field name="Objective-Path">
      <value order="0"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Implementation - Stakeholder Meetings</value>
    </field>
    <field name="Objective-Parent">
      <value order="0">Renting Homes (Wales) Act 2016 - Implementation - Stakeholder Meetings</value>
    </field>
    <field name="Objective-State">
      <value order="0">Published</value>
    </field>
    <field name="Objective-VersionId">
      <value order="0">vA45292887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qA1243663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Gwyndaf, Siwan (EPS - WLD)</dc:creator>
  <cp:lastModifiedBy>Steffan Evans</cp:lastModifiedBy>
  <cp:revision>2</cp:revision>
  <dcterms:created xsi:type="dcterms:W3CDTF">2018-06-27T13:16:00Z</dcterms:created>
  <dcterms:modified xsi:type="dcterms:W3CDTF">2018-06-27T13:16:00Z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A22723806</vt:lpwstr>
  </property>
  <property fmtid="{D5CDD505-2E9C-101B-9397-08002B2CF9AE}" pid="4" name="Objective-Title">
    <vt:lpwstr>2018-06 Letter to stakeholders -  English</vt:lpwstr>
  </property>
  <property fmtid="{D5CDD505-2E9C-101B-9397-08002B2CF9AE}" pid="5" name="Objective-Description">
    <vt:lpwstr/>
  </property>
  <property fmtid="{D5CDD505-2E9C-101B-9397-08002B2CF9AE}" pid="6" name="Objective-CreationStamp">
    <vt:filetime>2018-06-18T12:30:42Z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2018-06-25T13:32:54Z</vt:filetime>
  </property>
  <property fmtid="{D5CDD505-2E9C-101B-9397-08002B2CF9AE}" pid="10" name="Objective-ModificationStamp">
    <vt:filetime>2018-06-25T13:32:54Z</vt:filetime>
  </property>
  <property fmtid="{D5CDD505-2E9C-101B-9397-08002B2CF9AE}" pid="11" name="Objective-Owner">
    <vt:lpwstr>Gwyndaf, Siwan (EPS - WLD)</vt:lpwstr>
  </property>
  <property fmtid="{D5CDD505-2E9C-101B-9397-08002B2CF9AE}" pid="12" name="Objective-Path">
    <vt:lpwstr>Objective Global Folder:Business File Plan:Education &amp; Public Services (EPS):Education &amp; Public Services (EPS) - Housing &amp; Regeneration - Housing Policy:1 - Save:Housing Strategy and Legislation:Legislation:Renting Homes (Wales) Act 2016:Renting Homes (Wa</vt:lpwstr>
  </property>
  <property fmtid="{D5CDD505-2E9C-101B-9397-08002B2CF9AE}" pid="13" name="Objective-Parent">
    <vt:lpwstr>Renting Homes (Wales) Act 2016 - Implementation - Stakeholder Meetings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vA45292887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lpwstr/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