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055" w:rsidRDefault="005A1C9A" w:rsidP="00522A14">
      <w:pPr>
        <w:pStyle w:val="Title"/>
        <w:spacing w:after="0"/>
        <w:contextualSpacing w:val="0"/>
        <w:jc w:val="center"/>
        <w:rPr>
          <w:rFonts w:asciiTheme="minorHAnsi" w:hAnsiTheme="minorHAnsi" w:cstheme="minorHAnsi"/>
          <w:b/>
          <w:color w:val="0070C0"/>
        </w:rPr>
      </w:pPr>
      <w:r>
        <w:rPr>
          <w:rFonts w:asciiTheme="minorHAnsi" w:hAnsiTheme="minorHAnsi" w:cstheme="minorHAnsi"/>
          <w:b/>
          <w:noProof/>
          <w:color w:val="0070C0"/>
        </w:rPr>
        <w:drawing>
          <wp:anchor distT="0" distB="0" distL="114300" distR="114300" simplePos="0" relativeHeight="251667456" behindDoc="0" locked="0" layoutInCell="1" allowOverlap="1">
            <wp:simplePos x="0" y="0"/>
            <wp:positionH relativeFrom="column">
              <wp:posOffset>5087777</wp:posOffset>
            </wp:positionH>
            <wp:positionV relativeFrom="paragraph">
              <wp:posOffset>-666750</wp:posOffset>
            </wp:positionV>
            <wp:extent cx="1191738" cy="866775"/>
            <wp:effectExtent l="19050" t="0" r="8412" b="0"/>
            <wp:wrapNone/>
            <wp:docPr id="1" name="Picture 0" descr="TPAS NEW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S NEW with strapline.jpg"/>
                    <pic:cNvPicPr/>
                  </pic:nvPicPr>
                  <pic:blipFill>
                    <a:blip r:embed="rId5" cstate="print"/>
                    <a:stretch>
                      <a:fillRect/>
                    </a:stretch>
                  </pic:blipFill>
                  <pic:spPr>
                    <a:xfrm>
                      <a:off x="0" y="0"/>
                      <a:ext cx="1191738" cy="866775"/>
                    </a:xfrm>
                    <a:prstGeom prst="rect">
                      <a:avLst/>
                    </a:prstGeom>
                  </pic:spPr>
                </pic:pic>
              </a:graphicData>
            </a:graphic>
          </wp:anchor>
        </w:drawing>
      </w:r>
      <w:r w:rsidR="005F6055">
        <w:rPr>
          <w:rFonts w:asciiTheme="minorHAnsi" w:hAnsiTheme="minorHAnsi" w:cstheme="minorHAnsi"/>
          <w:b/>
          <w:noProof/>
          <w:color w:val="0070C0"/>
        </w:rPr>
        <w:drawing>
          <wp:anchor distT="0" distB="0" distL="114300" distR="114300" simplePos="0" relativeHeight="251669504" behindDoc="0" locked="0" layoutInCell="1" allowOverlap="1">
            <wp:simplePos x="0" y="0"/>
            <wp:positionH relativeFrom="column">
              <wp:posOffset>1756410</wp:posOffset>
            </wp:positionH>
            <wp:positionV relativeFrom="paragraph">
              <wp:posOffset>-666750</wp:posOffset>
            </wp:positionV>
            <wp:extent cx="2454275" cy="866775"/>
            <wp:effectExtent l="19050" t="0" r="3175" b="0"/>
            <wp:wrapNone/>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2454275" cy="866775"/>
                    </a:xfrm>
                    <a:prstGeom prst="rect">
                      <a:avLst/>
                    </a:prstGeom>
                  </pic:spPr>
                </pic:pic>
              </a:graphicData>
            </a:graphic>
          </wp:anchor>
        </w:drawing>
      </w:r>
      <w:r w:rsidR="005F6055">
        <w:rPr>
          <w:rFonts w:asciiTheme="minorHAnsi" w:hAnsiTheme="minorHAnsi" w:cstheme="minorHAnsi"/>
          <w:b/>
          <w:noProof/>
          <w:color w:val="0070C0"/>
        </w:rPr>
        <w:drawing>
          <wp:anchor distT="0" distB="0" distL="114300" distR="114300" simplePos="0" relativeHeight="251668480" behindDoc="0" locked="0" layoutInCell="1" allowOverlap="1">
            <wp:simplePos x="0" y="0"/>
            <wp:positionH relativeFrom="column">
              <wp:posOffset>-5715</wp:posOffset>
            </wp:positionH>
            <wp:positionV relativeFrom="paragraph">
              <wp:posOffset>-666750</wp:posOffset>
            </wp:positionV>
            <wp:extent cx="828675" cy="866775"/>
            <wp:effectExtent l="0" t="0" r="9525" b="0"/>
            <wp:wrapNone/>
            <wp:docPr id="2" name="Picture 1" descr="Image result for THE REGULATORY BOARD FOR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EGULATORY BOARD FOR WALES LOGO"/>
                    <pic:cNvPicPr>
                      <a:picLocks noChangeAspect="1" noChangeArrowheads="1"/>
                    </pic:cNvPicPr>
                  </pic:nvPicPr>
                  <pic:blipFill>
                    <a:blip r:embed="rId7" cstate="print"/>
                    <a:srcRect/>
                    <a:stretch>
                      <a:fillRect/>
                    </a:stretch>
                  </pic:blipFill>
                  <pic:spPr bwMode="auto">
                    <a:xfrm>
                      <a:off x="0" y="0"/>
                      <a:ext cx="828675" cy="866775"/>
                    </a:xfrm>
                    <a:prstGeom prst="rect">
                      <a:avLst/>
                    </a:prstGeom>
                    <a:noFill/>
                    <a:ln w="9525">
                      <a:noFill/>
                      <a:miter lim="800000"/>
                      <a:headEnd/>
                      <a:tailEnd/>
                    </a:ln>
                  </pic:spPr>
                </pic:pic>
              </a:graphicData>
            </a:graphic>
          </wp:anchor>
        </w:drawing>
      </w:r>
    </w:p>
    <w:p w:rsidR="00522A14" w:rsidRPr="005F6055" w:rsidRDefault="00522A14" w:rsidP="00522A14">
      <w:pPr>
        <w:pStyle w:val="Title"/>
        <w:spacing w:after="0"/>
        <w:contextualSpacing w:val="0"/>
        <w:jc w:val="center"/>
        <w:rPr>
          <w:rFonts w:asciiTheme="minorHAnsi" w:hAnsiTheme="minorHAnsi" w:cstheme="minorHAnsi"/>
          <w:b/>
          <w:color w:val="0070C0"/>
        </w:rPr>
      </w:pPr>
      <w:r w:rsidRPr="005F6055">
        <w:rPr>
          <w:rFonts w:asciiTheme="minorHAnsi" w:hAnsiTheme="minorHAnsi" w:cstheme="minorHAnsi"/>
          <w:b/>
          <w:color w:val="0070C0"/>
        </w:rPr>
        <w:t xml:space="preserve">Hearing the </w:t>
      </w:r>
      <w:r w:rsidRPr="0071102E">
        <w:rPr>
          <w:rFonts w:asciiTheme="minorHAnsi" w:hAnsiTheme="minorHAnsi" w:cstheme="minorHAnsi"/>
          <w:b/>
          <w:color w:val="0070C0"/>
        </w:rPr>
        <w:t>Tenants</w:t>
      </w:r>
      <w:r w:rsidRPr="005F6055">
        <w:rPr>
          <w:rFonts w:asciiTheme="minorHAnsi" w:hAnsiTheme="minorHAnsi" w:cstheme="minorHAnsi"/>
          <w:b/>
          <w:color w:val="0070C0"/>
        </w:rPr>
        <w:t xml:space="preserve"> Voice in the Regulation of Housing Association in Wales</w:t>
      </w:r>
    </w:p>
    <w:p w:rsidR="00522A14" w:rsidRDefault="00522A14" w:rsidP="00522A14">
      <w:pPr>
        <w:spacing w:after="0" w:line="240" w:lineRule="auto"/>
        <w:rPr>
          <w:color w:val="548DD4" w:themeColor="text2" w:themeTint="99"/>
          <w:sz w:val="40"/>
          <w:szCs w:val="40"/>
        </w:rPr>
      </w:pPr>
    </w:p>
    <w:p w:rsidR="00F47B34" w:rsidRPr="0071102E" w:rsidRDefault="00F47B34" w:rsidP="0071102E">
      <w:pPr>
        <w:spacing w:after="0" w:line="240" w:lineRule="auto"/>
        <w:rPr>
          <w:b/>
          <w:color w:val="0070C0"/>
          <w:sz w:val="40"/>
          <w:szCs w:val="40"/>
        </w:rPr>
      </w:pPr>
      <w:r w:rsidRPr="0071102E">
        <w:rPr>
          <w:b/>
          <w:color w:val="0070C0"/>
          <w:sz w:val="40"/>
          <w:szCs w:val="40"/>
        </w:rPr>
        <w:t xml:space="preserve">Who </w:t>
      </w:r>
      <w:r w:rsidR="00E43216" w:rsidRPr="0071102E">
        <w:rPr>
          <w:b/>
          <w:color w:val="0070C0"/>
          <w:sz w:val="40"/>
          <w:szCs w:val="40"/>
        </w:rPr>
        <w:t>Regulates</w:t>
      </w:r>
      <w:r w:rsidRPr="0071102E">
        <w:rPr>
          <w:b/>
          <w:color w:val="0070C0"/>
          <w:sz w:val="40"/>
          <w:szCs w:val="40"/>
        </w:rPr>
        <w:t xml:space="preserve"> Housing Associations in Wales?</w:t>
      </w:r>
    </w:p>
    <w:p w:rsidR="007972B7" w:rsidRPr="007972B7" w:rsidRDefault="007972B7" w:rsidP="0071102E">
      <w:pPr>
        <w:spacing w:after="0" w:line="240" w:lineRule="auto"/>
        <w:rPr>
          <w:rFonts w:cstheme="minorHAnsi"/>
          <w:sz w:val="32"/>
          <w:szCs w:val="32"/>
        </w:rPr>
      </w:pPr>
      <w:r w:rsidRPr="007972B7">
        <w:rPr>
          <w:rFonts w:cstheme="minorHAnsi"/>
          <w:sz w:val="32"/>
          <w:szCs w:val="32"/>
        </w:rPr>
        <w:t>Housing Associations in Wales, also known as ‘Registered Social Landlords’ (RSLs), are regulated by The Welsh Government’s Housing Regulation Team. The aim of regulation is to protect Tenants and Investment in Welsh Housing Associations.</w:t>
      </w:r>
    </w:p>
    <w:p w:rsidR="0071102E" w:rsidRDefault="0071102E" w:rsidP="0071102E">
      <w:pPr>
        <w:spacing w:after="0" w:line="240" w:lineRule="auto"/>
        <w:rPr>
          <w:rFonts w:cstheme="minorHAnsi"/>
          <w:sz w:val="32"/>
          <w:szCs w:val="32"/>
        </w:rPr>
      </w:pPr>
    </w:p>
    <w:p w:rsidR="007972B7" w:rsidRPr="007972B7" w:rsidRDefault="007972B7" w:rsidP="0071102E">
      <w:pPr>
        <w:spacing w:after="0" w:line="240" w:lineRule="auto"/>
        <w:rPr>
          <w:rFonts w:cstheme="minorHAnsi"/>
          <w:sz w:val="32"/>
          <w:szCs w:val="32"/>
        </w:rPr>
      </w:pPr>
      <w:r w:rsidRPr="007972B7">
        <w:rPr>
          <w:rFonts w:cstheme="minorHAnsi"/>
          <w:sz w:val="32"/>
          <w:szCs w:val="32"/>
        </w:rPr>
        <w:t xml:space="preserve">The work of the Regulation Team is overseen by the Regulatory Board for Wales (RBW) </w:t>
      </w:r>
    </w:p>
    <w:p w:rsidR="00EC5B47" w:rsidRPr="00493CDF" w:rsidRDefault="00EC5B47" w:rsidP="0071102E">
      <w:pPr>
        <w:shd w:val="clear" w:color="auto" w:fill="FFFFFF"/>
        <w:spacing w:after="0" w:line="240" w:lineRule="auto"/>
        <w:ind w:left="374"/>
        <w:rPr>
          <w:rFonts w:eastAsia="Times New Roman" w:cs="Arial"/>
          <w:color w:val="333333"/>
          <w:sz w:val="28"/>
          <w:szCs w:val="28"/>
        </w:rPr>
      </w:pPr>
    </w:p>
    <w:p w:rsidR="00F47B34" w:rsidRPr="0071102E" w:rsidRDefault="00F47B34" w:rsidP="0071102E">
      <w:pPr>
        <w:spacing w:after="0" w:line="240" w:lineRule="auto"/>
        <w:rPr>
          <w:b/>
          <w:color w:val="0070C0"/>
          <w:sz w:val="40"/>
          <w:szCs w:val="40"/>
        </w:rPr>
      </w:pPr>
      <w:r w:rsidRPr="0071102E">
        <w:rPr>
          <w:b/>
          <w:color w:val="0070C0"/>
          <w:sz w:val="40"/>
          <w:szCs w:val="40"/>
        </w:rPr>
        <w:t>What is the Regulatory Board for Wales (RBW)?</w:t>
      </w:r>
    </w:p>
    <w:p w:rsidR="007972B7" w:rsidRDefault="007972B7" w:rsidP="0071102E">
      <w:pPr>
        <w:spacing w:after="0" w:line="240" w:lineRule="auto"/>
        <w:rPr>
          <w:rFonts w:cstheme="minorHAnsi"/>
          <w:sz w:val="32"/>
          <w:szCs w:val="32"/>
        </w:rPr>
      </w:pPr>
      <w:r w:rsidRPr="007972B7">
        <w:rPr>
          <w:rFonts w:cstheme="minorHAnsi"/>
          <w:sz w:val="32"/>
          <w:szCs w:val="32"/>
        </w:rPr>
        <w:t xml:space="preserve">The Regulatory Board for Wales (RBW) is independent and made up of key housing figures from across the UK. </w:t>
      </w:r>
    </w:p>
    <w:p w:rsidR="0071102E" w:rsidRDefault="0071102E" w:rsidP="0071102E">
      <w:pPr>
        <w:spacing w:after="0" w:line="240" w:lineRule="auto"/>
        <w:rPr>
          <w:rFonts w:cstheme="minorHAnsi"/>
          <w:bCs/>
          <w:sz w:val="32"/>
          <w:szCs w:val="32"/>
          <w:shd w:val="clear" w:color="auto" w:fill="FFFFFF"/>
        </w:rPr>
      </w:pPr>
    </w:p>
    <w:p w:rsidR="007972B7" w:rsidRPr="007972B7" w:rsidRDefault="007972B7" w:rsidP="0071102E">
      <w:pPr>
        <w:spacing w:after="0" w:line="240" w:lineRule="auto"/>
        <w:rPr>
          <w:rFonts w:cstheme="minorHAnsi"/>
          <w:sz w:val="32"/>
          <w:szCs w:val="32"/>
        </w:rPr>
      </w:pPr>
      <w:r w:rsidRPr="007972B7">
        <w:rPr>
          <w:rFonts w:cstheme="minorHAnsi"/>
          <w:bCs/>
          <w:sz w:val="32"/>
          <w:szCs w:val="32"/>
          <w:shd w:val="clear" w:color="auto" w:fill="FFFFFF"/>
        </w:rPr>
        <w:t>The purpose of the board is to examine the regulatory performance and activity of the Welsh Government and the housing sector.</w:t>
      </w:r>
    </w:p>
    <w:p w:rsidR="0071102E" w:rsidRDefault="0071102E" w:rsidP="0071102E">
      <w:pPr>
        <w:spacing w:after="0" w:line="240" w:lineRule="auto"/>
        <w:rPr>
          <w:rFonts w:cstheme="minorHAnsi"/>
          <w:sz w:val="32"/>
          <w:szCs w:val="32"/>
        </w:rPr>
      </w:pPr>
    </w:p>
    <w:p w:rsidR="007972B7" w:rsidRPr="007972B7" w:rsidRDefault="007972B7" w:rsidP="0071102E">
      <w:pPr>
        <w:spacing w:after="0" w:line="240" w:lineRule="auto"/>
        <w:rPr>
          <w:rFonts w:cstheme="minorHAnsi"/>
          <w:sz w:val="32"/>
          <w:szCs w:val="32"/>
        </w:rPr>
      </w:pPr>
      <w:r w:rsidRPr="007972B7">
        <w:rPr>
          <w:rFonts w:cstheme="minorHAnsi"/>
          <w:sz w:val="32"/>
          <w:szCs w:val="32"/>
        </w:rPr>
        <w:t>Understanding and hearing the views of tenants of housing associations is important to the Board and the Regulation Team so that tenants’ concerns and interests are reflected in their work. They want to be able to find out about tenants’ priorities and concerns generally and views on important priority areas such as value for money. They also want feedback from tenants across Wales regarding their broad satisfaction with their housing association’s services &amp; tenant engagement.</w:t>
      </w:r>
    </w:p>
    <w:p w:rsidR="0071102E" w:rsidRDefault="0071102E" w:rsidP="0071102E">
      <w:pPr>
        <w:spacing w:after="0" w:line="240" w:lineRule="auto"/>
        <w:rPr>
          <w:rFonts w:cstheme="minorHAnsi"/>
          <w:sz w:val="32"/>
          <w:szCs w:val="32"/>
        </w:rPr>
      </w:pPr>
    </w:p>
    <w:p w:rsidR="007972B7" w:rsidRPr="0071102E" w:rsidRDefault="007972B7" w:rsidP="0071102E">
      <w:pPr>
        <w:spacing w:after="0" w:line="240" w:lineRule="auto"/>
        <w:rPr>
          <w:rStyle w:val="Hyperlink"/>
          <w:rFonts w:cstheme="minorHAnsi"/>
          <w:color w:val="0000FF"/>
          <w:sz w:val="32"/>
          <w:szCs w:val="32"/>
        </w:rPr>
      </w:pPr>
      <w:r w:rsidRPr="007972B7">
        <w:rPr>
          <w:rFonts w:cstheme="minorHAnsi"/>
          <w:sz w:val="32"/>
          <w:szCs w:val="32"/>
        </w:rPr>
        <w:t>The Regulatory Board want to build a picture of tenants’ general views over time and hear if regulation is working from a tenants’ perspective</w:t>
      </w:r>
      <w:r w:rsidR="00AE1DD8">
        <w:rPr>
          <w:rFonts w:cstheme="minorHAnsi"/>
          <w:sz w:val="32"/>
          <w:szCs w:val="32"/>
        </w:rPr>
        <w:t>.</w:t>
      </w:r>
      <w:r w:rsidRPr="007972B7">
        <w:rPr>
          <w:rFonts w:cstheme="minorHAnsi"/>
          <w:sz w:val="32"/>
          <w:szCs w:val="32"/>
        </w:rPr>
        <w:t xml:space="preserve"> The Board it is not able to deal with specific complaints from tenants, these should be dealt with via the landlord’s complaints policy or through the Public Service Ombudsman for Wales - </w:t>
      </w:r>
      <w:hyperlink r:id="rId8" w:history="1">
        <w:r w:rsidRPr="0071102E">
          <w:rPr>
            <w:rStyle w:val="Hyperlink"/>
            <w:rFonts w:cstheme="minorHAnsi"/>
            <w:color w:val="0000FF"/>
            <w:sz w:val="32"/>
            <w:szCs w:val="32"/>
          </w:rPr>
          <w:t>http://www.ombudsman-wales.org.uk/</w:t>
        </w:r>
      </w:hyperlink>
    </w:p>
    <w:p w:rsidR="00F47B34" w:rsidRPr="0071102E" w:rsidRDefault="00F47B34" w:rsidP="0071102E">
      <w:pPr>
        <w:spacing w:after="0" w:line="240" w:lineRule="auto"/>
        <w:rPr>
          <w:b/>
          <w:color w:val="0070C0"/>
          <w:sz w:val="40"/>
          <w:szCs w:val="40"/>
        </w:rPr>
      </w:pPr>
      <w:r w:rsidRPr="0071102E">
        <w:rPr>
          <w:b/>
          <w:color w:val="0070C0"/>
          <w:sz w:val="40"/>
          <w:szCs w:val="40"/>
        </w:rPr>
        <w:lastRenderedPageBreak/>
        <w:t>How will the voice of tenants be heard by the RBW?</w:t>
      </w:r>
    </w:p>
    <w:p w:rsidR="007972B7" w:rsidRDefault="007972B7" w:rsidP="0071102E">
      <w:pPr>
        <w:spacing w:after="0" w:line="240" w:lineRule="auto"/>
        <w:rPr>
          <w:rFonts w:cstheme="minorHAnsi"/>
          <w:sz w:val="32"/>
          <w:szCs w:val="32"/>
        </w:rPr>
      </w:pPr>
      <w:r w:rsidRPr="007972B7">
        <w:rPr>
          <w:rFonts w:cstheme="minorHAnsi"/>
          <w:sz w:val="32"/>
          <w:szCs w:val="32"/>
        </w:rPr>
        <w:t xml:space="preserve">To gather tenants views the Board and Regulation Team are working with TPAS Cymru who will use a range of ways for tenants to be engaged. These will include gathering tenant views at regional tenant networks and events; focus groups and forums to discuss specific issues. </w:t>
      </w:r>
    </w:p>
    <w:p w:rsidR="0071102E" w:rsidRDefault="0071102E" w:rsidP="0071102E">
      <w:pPr>
        <w:spacing w:after="0" w:line="240" w:lineRule="auto"/>
        <w:rPr>
          <w:rFonts w:cstheme="minorHAnsi"/>
          <w:sz w:val="32"/>
          <w:szCs w:val="32"/>
        </w:rPr>
      </w:pPr>
    </w:p>
    <w:p w:rsidR="007972B7" w:rsidRPr="007972B7" w:rsidRDefault="007972B7" w:rsidP="0071102E">
      <w:pPr>
        <w:spacing w:after="0" w:line="240" w:lineRule="auto"/>
        <w:rPr>
          <w:rFonts w:cstheme="minorHAnsi"/>
          <w:sz w:val="32"/>
          <w:szCs w:val="32"/>
        </w:rPr>
      </w:pPr>
      <w:r w:rsidRPr="007972B7">
        <w:rPr>
          <w:rFonts w:cstheme="minorHAnsi"/>
          <w:sz w:val="32"/>
          <w:szCs w:val="32"/>
        </w:rPr>
        <w:t>TPAS Cymru have also set up the new ‘Tenant Pulse’ – a survey community where tenants can give their views by email or post.  ‘Tenant Pulse’ is free to join and for each survey completed members are entered in a prize draw.</w:t>
      </w:r>
    </w:p>
    <w:p w:rsidR="0071102E" w:rsidRDefault="0071102E" w:rsidP="0071102E">
      <w:pPr>
        <w:spacing w:after="0" w:line="240" w:lineRule="auto"/>
        <w:rPr>
          <w:rFonts w:cstheme="minorHAnsi"/>
          <w:sz w:val="32"/>
          <w:szCs w:val="32"/>
        </w:rPr>
      </w:pPr>
    </w:p>
    <w:p w:rsidR="007972B7" w:rsidRPr="0071102E" w:rsidRDefault="007972B7" w:rsidP="0071102E">
      <w:pPr>
        <w:spacing w:after="0" w:line="240" w:lineRule="auto"/>
        <w:rPr>
          <w:rFonts w:cstheme="minorHAnsi"/>
          <w:sz w:val="32"/>
          <w:szCs w:val="32"/>
          <w:u w:val="single"/>
        </w:rPr>
      </w:pPr>
      <w:r w:rsidRPr="007972B7">
        <w:rPr>
          <w:rFonts w:cstheme="minorHAnsi"/>
          <w:sz w:val="32"/>
          <w:szCs w:val="32"/>
        </w:rPr>
        <w:t xml:space="preserve">To join ‘Tenant Pulse’ follow the link on the website </w:t>
      </w:r>
      <w:hyperlink r:id="rId9" w:history="1">
        <w:r w:rsidRPr="0071102E">
          <w:rPr>
            <w:rStyle w:val="Hyperlink"/>
            <w:rFonts w:cstheme="minorHAnsi"/>
            <w:color w:val="0000FF"/>
            <w:sz w:val="32"/>
            <w:szCs w:val="32"/>
          </w:rPr>
          <w:t>www.tpas.cymru/about/tenant-pulse</w:t>
        </w:r>
      </w:hyperlink>
      <w:r w:rsidRPr="0071102E">
        <w:rPr>
          <w:rFonts w:cstheme="minorHAnsi"/>
          <w:color w:val="0000FF"/>
          <w:sz w:val="32"/>
          <w:szCs w:val="32"/>
        </w:rPr>
        <w:t xml:space="preserve"> </w:t>
      </w:r>
      <w:r w:rsidRPr="007972B7">
        <w:rPr>
          <w:rFonts w:cstheme="minorHAnsi"/>
          <w:sz w:val="32"/>
          <w:szCs w:val="32"/>
        </w:rPr>
        <w:t>or contact TPAS Cymru for a paper application or for the information in different format/languages (02920</w:t>
      </w:r>
      <w:r w:rsidR="00AE1DD8">
        <w:rPr>
          <w:rFonts w:cstheme="minorHAnsi"/>
          <w:sz w:val="32"/>
          <w:szCs w:val="32"/>
        </w:rPr>
        <w:t xml:space="preserve"> </w:t>
      </w:r>
      <w:bookmarkStart w:id="0" w:name="_GoBack"/>
      <w:bookmarkEnd w:id="0"/>
      <w:r w:rsidRPr="007972B7">
        <w:rPr>
          <w:rFonts w:cstheme="minorHAnsi"/>
          <w:sz w:val="32"/>
          <w:szCs w:val="32"/>
        </w:rPr>
        <w:t>237303)</w:t>
      </w:r>
    </w:p>
    <w:p w:rsidR="007972B7" w:rsidRPr="007972B7" w:rsidRDefault="007972B7" w:rsidP="0071102E">
      <w:pPr>
        <w:spacing w:after="0" w:line="240" w:lineRule="auto"/>
        <w:rPr>
          <w:rFonts w:cstheme="minorHAnsi"/>
          <w:sz w:val="32"/>
          <w:szCs w:val="32"/>
        </w:rPr>
      </w:pPr>
    </w:p>
    <w:p w:rsidR="007972B7" w:rsidRPr="007972B7" w:rsidRDefault="007972B7" w:rsidP="0071102E">
      <w:pPr>
        <w:spacing w:after="0" w:line="240" w:lineRule="auto"/>
        <w:rPr>
          <w:rFonts w:cstheme="minorHAnsi"/>
          <w:sz w:val="32"/>
          <w:szCs w:val="32"/>
        </w:rPr>
      </w:pPr>
      <w:r w:rsidRPr="007972B7">
        <w:rPr>
          <w:rFonts w:cstheme="minorHAnsi"/>
          <w:sz w:val="32"/>
          <w:szCs w:val="32"/>
        </w:rPr>
        <w:t>How the Tenant voice in regulation is working is being monitored through a ‘Making it Work’ Steering Group, made up of members of RBW, Regulation Team, Regulatory Advisory Group and TPAS Cymru.</w:t>
      </w:r>
    </w:p>
    <w:p w:rsidR="007972B7" w:rsidRDefault="007972B7" w:rsidP="0071102E">
      <w:pPr>
        <w:spacing w:after="0" w:line="240" w:lineRule="auto"/>
        <w:rPr>
          <w:rFonts w:cstheme="minorHAnsi"/>
          <w:color w:val="548DD4" w:themeColor="text2" w:themeTint="99"/>
          <w:sz w:val="40"/>
          <w:szCs w:val="40"/>
        </w:rPr>
      </w:pPr>
    </w:p>
    <w:p w:rsidR="007972B7" w:rsidRPr="0071102E" w:rsidRDefault="007972B7" w:rsidP="0071102E">
      <w:pPr>
        <w:spacing w:after="0" w:line="240" w:lineRule="auto"/>
        <w:rPr>
          <w:rFonts w:cstheme="minorHAnsi"/>
          <w:b/>
          <w:color w:val="0070C0"/>
          <w:sz w:val="40"/>
          <w:szCs w:val="40"/>
        </w:rPr>
      </w:pPr>
      <w:r w:rsidRPr="0071102E">
        <w:rPr>
          <w:rFonts w:cstheme="minorHAnsi"/>
          <w:b/>
          <w:color w:val="0070C0"/>
          <w:sz w:val="40"/>
          <w:szCs w:val="40"/>
        </w:rPr>
        <w:t>Further information</w:t>
      </w:r>
    </w:p>
    <w:p w:rsidR="007972B7" w:rsidRPr="007972B7" w:rsidRDefault="007972B7" w:rsidP="0071102E">
      <w:pPr>
        <w:spacing w:after="0" w:line="240" w:lineRule="auto"/>
        <w:rPr>
          <w:rFonts w:cstheme="minorHAnsi"/>
          <w:sz w:val="32"/>
          <w:szCs w:val="32"/>
        </w:rPr>
      </w:pPr>
      <w:r w:rsidRPr="007972B7">
        <w:rPr>
          <w:rFonts w:cstheme="minorHAnsi"/>
          <w:sz w:val="32"/>
          <w:szCs w:val="32"/>
        </w:rPr>
        <w:t>Further information about Housing Association Regulation in Wales is available following the links below:</w:t>
      </w:r>
    </w:p>
    <w:p w:rsidR="0071102E" w:rsidRDefault="0071102E" w:rsidP="0071102E">
      <w:pPr>
        <w:spacing w:after="0" w:line="240" w:lineRule="auto"/>
        <w:rPr>
          <w:sz w:val="28"/>
          <w:szCs w:val="28"/>
        </w:rPr>
      </w:pPr>
    </w:p>
    <w:p w:rsidR="007972B7" w:rsidRPr="0071102E" w:rsidRDefault="00AE1DD8" w:rsidP="0071102E">
      <w:pPr>
        <w:spacing w:after="0" w:line="240" w:lineRule="auto"/>
        <w:rPr>
          <w:rFonts w:cstheme="minorHAnsi"/>
          <w:color w:val="0000FF"/>
          <w:sz w:val="32"/>
          <w:szCs w:val="32"/>
        </w:rPr>
      </w:pPr>
      <w:hyperlink r:id="rId10" w:history="1">
        <w:r w:rsidR="007972B7" w:rsidRPr="0071102E">
          <w:rPr>
            <w:rStyle w:val="Hyperlink"/>
            <w:rFonts w:cstheme="minorHAnsi"/>
            <w:color w:val="0000FF"/>
            <w:sz w:val="32"/>
            <w:szCs w:val="32"/>
          </w:rPr>
          <w:t>http://www.tpas.cymru/blog/the-regulatory-board-for-wales-a-tenant-overview</w:t>
        </w:r>
      </w:hyperlink>
    </w:p>
    <w:p w:rsidR="0071102E" w:rsidRPr="0071102E" w:rsidRDefault="0071102E" w:rsidP="0071102E">
      <w:pPr>
        <w:spacing w:after="0" w:line="240" w:lineRule="auto"/>
        <w:rPr>
          <w:color w:val="0000FF"/>
          <w:sz w:val="32"/>
          <w:szCs w:val="32"/>
        </w:rPr>
      </w:pPr>
    </w:p>
    <w:p w:rsidR="007972B7" w:rsidRPr="0071102E" w:rsidRDefault="00AE1DD8" w:rsidP="0071102E">
      <w:pPr>
        <w:spacing w:after="0" w:line="240" w:lineRule="auto"/>
        <w:rPr>
          <w:rFonts w:cstheme="minorHAnsi"/>
          <w:color w:val="0000FF"/>
          <w:sz w:val="32"/>
          <w:szCs w:val="32"/>
        </w:rPr>
      </w:pPr>
      <w:hyperlink r:id="rId11" w:history="1">
        <w:r w:rsidR="007972B7" w:rsidRPr="0071102E">
          <w:rPr>
            <w:rStyle w:val="Hyperlink"/>
            <w:rFonts w:cstheme="minorHAnsi"/>
            <w:color w:val="0000FF"/>
            <w:sz w:val="32"/>
            <w:szCs w:val="32"/>
          </w:rPr>
          <w:t>http://gov.wales/topics/housing-and-regeneration/services-and-support/regulation/?lang=en</w:t>
        </w:r>
      </w:hyperlink>
    </w:p>
    <w:p w:rsidR="0071102E" w:rsidRPr="0071102E" w:rsidRDefault="0071102E" w:rsidP="0071102E">
      <w:pPr>
        <w:spacing w:after="0" w:line="240" w:lineRule="auto"/>
        <w:rPr>
          <w:sz w:val="32"/>
          <w:szCs w:val="32"/>
        </w:rPr>
      </w:pPr>
    </w:p>
    <w:p w:rsidR="007972B7" w:rsidRPr="0071102E" w:rsidRDefault="00AE1DD8" w:rsidP="0071102E">
      <w:pPr>
        <w:spacing w:after="0" w:line="240" w:lineRule="auto"/>
        <w:rPr>
          <w:rFonts w:cstheme="minorHAnsi"/>
          <w:sz w:val="32"/>
          <w:szCs w:val="32"/>
        </w:rPr>
      </w:pPr>
      <w:hyperlink r:id="rId12" w:history="1">
        <w:r w:rsidR="007972B7" w:rsidRPr="0071102E">
          <w:rPr>
            <w:rStyle w:val="Hyperlink"/>
            <w:rFonts w:cstheme="minorHAnsi"/>
            <w:sz w:val="32"/>
            <w:szCs w:val="32"/>
          </w:rPr>
          <w:t>http://gov.wales/topics/housing-and-regeneration/services-and-support/regulation/regulatory-assessments/?lang=en</w:t>
        </w:r>
      </w:hyperlink>
    </w:p>
    <w:p w:rsidR="007972B7" w:rsidRDefault="007972B7" w:rsidP="007972B7">
      <w:pPr>
        <w:rPr>
          <w:rFonts w:cstheme="minorHAnsi"/>
          <w:sz w:val="32"/>
          <w:szCs w:val="32"/>
        </w:rPr>
      </w:pPr>
    </w:p>
    <w:p w:rsidR="005F6055" w:rsidRDefault="007972B7" w:rsidP="0071102E">
      <w:r>
        <w:rPr>
          <w:rFonts w:cstheme="minorHAnsi"/>
          <w:sz w:val="32"/>
          <w:szCs w:val="32"/>
        </w:rPr>
        <w:t>Updated – Sept 2017.  DL</w:t>
      </w:r>
    </w:p>
    <w:sectPr w:rsidR="005F6055" w:rsidSect="0071102E">
      <w:pgSz w:w="11906" w:h="16838"/>
      <w:pgMar w:top="1440"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2FF7"/>
    <w:multiLevelType w:val="hybridMultilevel"/>
    <w:tmpl w:val="C3B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C2850"/>
    <w:multiLevelType w:val="multilevel"/>
    <w:tmpl w:val="9C1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34"/>
    <w:rsid w:val="00082C32"/>
    <w:rsid w:val="000B7CFC"/>
    <w:rsid w:val="001F6055"/>
    <w:rsid w:val="002C6F43"/>
    <w:rsid w:val="00374B7E"/>
    <w:rsid w:val="00493CDF"/>
    <w:rsid w:val="00522A14"/>
    <w:rsid w:val="005418FC"/>
    <w:rsid w:val="005A1C9A"/>
    <w:rsid w:val="005C5057"/>
    <w:rsid w:val="005F6055"/>
    <w:rsid w:val="0071102E"/>
    <w:rsid w:val="007972B7"/>
    <w:rsid w:val="007E16D1"/>
    <w:rsid w:val="0082119E"/>
    <w:rsid w:val="00965FE7"/>
    <w:rsid w:val="00A5220B"/>
    <w:rsid w:val="00AE1DD8"/>
    <w:rsid w:val="00AF0439"/>
    <w:rsid w:val="00B8340B"/>
    <w:rsid w:val="00D313D4"/>
    <w:rsid w:val="00E43216"/>
    <w:rsid w:val="00EC5B47"/>
    <w:rsid w:val="00EE3D47"/>
    <w:rsid w:val="00F4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CAD3"/>
  <w15:docId w15:val="{2213D4EF-3C1D-465A-9067-61CBF85E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40B"/>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055"/>
    <w:rPr>
      <w:color w:val="0000FF" w:themeColor="hyperlink"/>
      <w:u w:val="single"/>
    </w:rPr>
  </w:style>
  <w:style w:type="paragraph" w:styleId="ListParagraph">
    <w:name w:val="List Paragraph"/>
    <w:basedOn w:val="Normal"/>
    <w:uiPriority w:val="34"/>
    <w:qFormat/>
    <w:rsid w:val="00AF0439"/>
    <w:pPr>
      <w:ind w:left="720"/>
      <w:contextualSpacing/>
    </w:pPr>
  </w:style>
  <w:style w:type="paragraph" w:styleId="Title">
    <w:name w:val="Title"/>
    <w:basedOn w:val="Normal"/>
    <w:next w:val="Normal"/>
    <w:link w:val="TitleChar"/>
    <w:uiPriority w:val="10"/>
    <w:qFormat/>
    <w:rsid w:val="00522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2A1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55"/>
    <w:rPr>
      <w:rFonts w:ascii="Tahoma" w:hAnsi="Tahoma" w:cs="Tahoma"/>
      <w:sz w:val="16"/>
      <w:szCs w:val="16"/>
    </w:rPr>
  </w:style>
  <w:style w:type="character" w:styleId="FollowedHyperlink">
    <w:name w:val="FollowedHyperlink"/>
    <w:basedOn w:val="DefaultParagraphFont"/>
    <w:uiPriority w:val="99"/>
    <w:semiHidden/>
    <w:unhideWhenUsed/>
    <w:rsid w:val="007972B7"/>
    <w:rPr>
      <w:color w:val="800080" w:themeColor="followedHyperlink"/>
      <w:u w:val="single"/>
    </w:rPr>
  </w:style>
  <w:style w:type="character" w:styleId="UnresolvedMention">
    <w:name w:val="Unresolved Mention"/>
    <w:basedOn w:val="DefaultParagraphFont"/>
    <w:uiPriority w:val="99"/>
    <w:semiHidden/>
    <w:unhideWhenUsed/>
    <w:rsid w:val="007972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09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988">
          <w:marLeft w:val="0"/>
          <w:marRight w:val="0"/>
          <w:marTop w:val="0"/>
          <w:marBottom w:val="0"/>
          <w:divBdr>
            <w:top w:val="none" w:sz="0" w:space="0" w:color="auto"/>
            <w:left w:val="none" w:sz="0" w:space="0" w:color="auto"/>
            <w:bottom w:val="none" w:sz="0" w:space="0" w:color="auto"/>
            <w:right w:val="none" w:sz="0" w:space="0" w:color="auto"/>
          </w:divBdr>
          <w:divsChild>
            <w:div w:id="957638358">
              <w:marLeft w:val="0"/>
              <w:marRight w:val="0"/>
              <w:marTop w:val="0"/>
              <w:marBottom w:val="0"/>
              <w:divBdr>
                <w:top w:val="none" w:sz="0" w:space="0" w:color="auto"/>
                <w:left w:val="none" w:sz="0" w:space="0" w:color="auto"/>
                <w:bottom w:val="none" w:sz="0" w:space="0" w:color="auto"/>
                <w:right w:val="none" w:sz="0" w:space="0" w:color="auto"/>
              </w:divBdr>
              <w:divsChild>
                <w:div w:id="598487041">
                  <w:marLeft w:val="0"/>
                  <w:marRight w:val="0"/>
                  <w:marTop w:val="150"/>
                  <w:marBottom w:val="150"/>
                  <w:divBdr>
                    <w:top w:val="none" w:sz="0" w:space="0" w:color="auto"/>
                    <w:left w:val="none" w:sz="0" w:space="0" w:color="auto"/>
                    <w:bottom w:val="none" w:sz="0" w:space="0" w:color="auto"/>
                    <w:right w:val="none" w:sz="0" w:space="0" w:color="auto"/>
                  </w:divBdr>
                  <w:divsChild>
                    <w:div w:id="1892693924">
                      <w:marLeft w:val="0"/>
                      <w:marRight w:val="0"/>
                      <w:marTop w:val="0"/>
                      <w:marBottom w:val="0"/>
                      <w:divBdr>
                        <w:top w:val="none" w:sz="0" w:space="0" w:color="auto"/>
                        <w:left w:val="none" w:sz="0" w:space="0" w:color="auto"/>
                        <w:bottom w:val="none" w:sz="0" w:space="0" w:color="auto"/>
                        <w:right w:val="none" w:sz="0" w:space="0" w:color="auto"/>
                      </w:divBdr>
                      <w:divsChild>
                        <w:div w:id="1705714750">
                          <w:marLeft w:val="0"/>
                          <w:marRight w:val="0"/>
                          <w:marTop w:val="0"/>
                          <w:marBottom w:val="0"/>
                          <w:divBdr>
                            <w:top w:val="none" w:sz="0" w:space="0" w:color="auto"/>
                            <w:left w:val="none" w:sz="0" w:space="0" w:color="auto"/>
                            <w:bottom w:val="none" w:sz="0" w:space="0" w:color="auto"/>
                            <w:right w:val="none" w:sz="0" w:space="0" w:color="auto"/>
                          </w:divBdr>
                          <w:divsChild>
                            <w:div w:id="1285699073">
                              <w:marLeft w:val="0"/>
                              <w:marRight w:val="0"/>
                              <w:marTop w:val="0"/>
                              <w:marBottom w:val="0"/>
                              <w:divBdr>
                                <w:top w:val="none" w:sz="0" w:space="0" w:color="auto"/>
                                <w:left w:val="none" w:sz="0" w:space="0" w:color="auto"/>
                                <w:bottom w:val="none" w:sz="0" w:space="0" w:color="auto"/>
                                <w:right w:val="none" w:sz="0" w:space="0" w:color="auto"/>
                              </w:divBdr>
                              <w:divsChild>
                                <w:div w:id="142544505">
                                  <w:marLeft w:val="0"/>
                                  <w:marRight w:val="0"/>
                                  <w:marTop w:val="0"/>
                                  <w:marBottom w:val="0"/>
                                  <w:divBdr>
                                    <w:top w:val="none" w:sz="0" w:space="0" w:color="auto"/>
                                    <w:left w:val="none" w:sz="0" w:space="0" w:color="auto"/>
                                    <w:bottom w:val="none" w:sz="0" w:space="0" w:color="auto"/>
                                    <w:right w:val="none" w:sz="0" w:space="0" w:color="auto"/>
                                  </w:divBdr>
                                  <w:divsChild>
                                    <w:div w:id="1149128906">
                                      <w:marLeft w:val="0"/>
                                      <w:marRight w:val="0"/>
                                      <w:marTop w:val="0"/>
                                      <w:marBottom w:val="0"/>
                                      <w:divBdr>
                                        <w:top w:val="none" w:sz="0" w:space="0" w:color="auto"/>
                                        <w:left w:val="none" w:sz="0" w:space="0" w:color="auto"/>
                                        <w:bottom w:val="none" w:sz="0" w:space="0" w:color="auto"/>
                                        <w:right w:val="none" w:sz="0" w:space="0" w:color="auto"/>
                                      </w:divBdr>
                                      <w:divsChild>
                                        <w:div w:id="1828859202">
                                          <w:marLeft w:val="0"/>
                                          <w:marRight w:val="0"/>
                                          <w:marTop w:val="0"/>
                                          <w:marBottom w:val="0"/>
                                          <w:divBdr>
                                            <w:top w:val="none" w:sz="0" w:space="0" w:color="auto"/>
                                            <w:left w:val="none" w:sz="0" w:space="0" w:color="auto"/>
                                            <w:bottom w:val="none" w:sz="0" w:space="0" w:color="auto"/>
                                            <w:right w:val="none" w:sz="0" w:space="0" w:color="auto"/>
                                          </w:divBdr>
                                          <w:divsChild>
                                            <w:div w:id="365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39370">
      <w:bodyDiv w:val="1"/>
      <w:marLeft w:val="0"/>
      <w:marRight w:val="0"/>
      <w:marTop w:val="0"/>
      <w:marBottom w:val="0"/>
      <w:divBdr>
        <w:top w:val="none" w:sz="0" w:space="0" w:color="auto"/>
        <w:left w:val="none" w:sz="0" w:space="0" w:color="auto"/>
        <w:bottom w:val="none" w:sz="0" w:space="0" w:color="auto"/>
        <w:right w:val="none" w:sz="0" w:space="0" w:color="auto"/>
      </w:divBdr>
      <w:divsChild>
        <w:div w:id="2099862432">
          <w:marLeft w:val="0"/>
          <w:marRight w:val="0"/>
          <w:marTop w:val="0"/>
          <w:marBottom w:val="0"/>
          <w:divBdr>
            <w:top w:val="none" w:sz="0" w:space="0" w:color="auto"/>
            <w:left w:val="none" w:sz="0" w:space="0" w:color="auto"/>
            <w:bottom w:val="none" w:sz="0" w:space="0" w:color="auto"/>
            <w:right w:val="none" w:sz="0" w:space="0" w:color="auto"/>
          </w:divBdr>
          <w:divsChild>
            <w:div w:id="543443656">
              <w:marLeft w:val="0"/>
              <w:marRight w:val="0"/>
              <w:marTop w:val="0"/>
              <w:marBottom w:val="0"/>
              <w:divBdr>
                <w:top w:val="none" w:sz="0" w:space="0" w:color="auto"/>
                <w:left w:val="none" w:sz="0" w:space="0" w:color="auto"/>
                <w:bottom w:val="none" w:sz="0" w:space="0" w:color="auto"/>
                <w:right w:val="none" w:sz="0" w:space="0" w:color="auto"/>
              </w:divBdr>
              <w:divsChild>
                <w:div w:id="7414847">
                  <w:marLeft w:val="0"/>
                  <w:marRight w:val="0"/>
                  <w:marTop w:val="0"/>
                  <w:marBottom w:val="300"/>
                  <w:divBdr>
                    <w:top w:val="none" w:sz="0" w:space="0" w:color="auto"/>
                    <w:left w:val="none" w:sz="0" w:space="0" w:color="auto"/>
                    <w:bottom w:val="none" w:sz="0" w:space="0" w:color="auto"/>
                    <w:right w:val="none" w:sz="0" w:space="0" w:color="auto"/>
                  </w:divBdr>
                  <w:divsChild>
                    <w:div w:id="694501394">
                      <w:marLeft w:val="0"/>
                      <w:marRight w:val="0"/>
                      <w:marTop w:val="150"/>
                      <w:marBottom w:val="0"/>
                      <w:divBdr>
                        <w:top w:val="none" w:sz="0" w:space="0" w:color="auto"/>
                        <w:left w:val="none" w:sz="0" w:space="0" w:color="auto"/>
                        <w:bottom w:val="none" w:sz="0" w:space="0" w:color="auto"/>
                        <w:right w:val="none" w:sz="0" w:space="0" w:color="auto"/>
                      </w:divBdr>
                      <w:divsChild>
                        <w:div w:id="103809988">
                          <w:marLeft w:val="0"/>
                          <w:marRight w:val="0"/>
                          <w:marTop w:val="0"/>
                          <w:marBottom w:val="300"/>
                          <w:divBdr>
                            <w:top w:val="none" w:sz="0" w:space="0" w:color="auto"/>
                            <w:left w:val="none" w:sz="0" w:space="0" w:color="auto"/>
                            <w:bottom w:val="none" w:sz="0" w:space="0" w:color="auto"/>
                            <w:right w:val="none" w:sz="0" w:space="0" w:color="auto"/>
                          </w:divBdr>
                        </w:div>
                        <w:div w:id="98571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0345213">
      <w:bodyDiv w:val="1"/>
      <w:marLeft w:val="0"/>
      <w:marRight w:val="0"/>
      <w:marTop w:val="0"/>
      <w:marBottom w:val="0"/>
      <w:divBdr>
        <w:top w:val="none" w:sz="0" w:space="0" w:color="auto"/>
        <w:left w:val="none" w:sz="0" w:space="0" w:color="auto"/>
        <w:bottom w:val="none" w:sz="0" w:space="0" w:color="auto"/>
        <w:right w:val="none" w:sz="0" w:space="0" w:color="auto"/>
      </w:divBdr>
      <w:divsChild>
        <w:div w:id="1758478610">
          <w:marLeft w:val="0"/>
          <w:marRight w:val="0"/>
          <w:marTop w:val="0"/>
          <w:marBottom w:val="0"/>
          <w:divBdr>
            <w:top w:val="none" w:sz="0" w:space="0" w:color="auto"/>
            <w:left w:val="none" w:sz="0" w:space="0" w:color="auto"/>
            <w:bottom w:val="none" w:sz="0" w:space="0" w:color="auto"/>
            <w:right w:val="none" w:sz="0" w:space="0" w:color="auto"/>
          </w:divBdr>
          <w:divsChild>
            <w:div w:id="900481718">
              <w:marLeft w:val="0"/>
              <w:marRight w:val="0"/>
              <w:marTop w:val="0"/>
              <w:marBottom w:val="0"/>
              <w:divBdr>
                <w:top w:val="none" w:sz="0" w:space="0" w:color="auto"/>
                <w:left w:val="none" w:sz="0" w:space="0" w:color="auto"/>
                <w:bottom w:val="none" w:sz="0" w:space="0" w:color="auto"/>
                <w:right w:val="none" w:sz="0" w:space="0" w:color="auto"/>
              </w:divBdr>
              <w:divsChild>
                <w:div w:id="1757020638">
                  <w:marLeft w:val="0"/>
                  <w:marRight w:val="0"/>
                  <w:marTop w:val="0"/>
                  <w:marBottom w:val="300"/>
                  <w:divBdr>
                    <w:top w:val="none" w:sz="0" w:space="0" w:color="auto"/>
                    <w:left w:val="none" w:sz="0" w:space="0" w:color="auto"/>
                    <w:bottom w:val="none" w:sz="0" w:space="0" w:color="auto"/>
                    <w:right w:val="none" w:sz="0" w:space="0" w:color="auto"/>
                  </w:divBdr>
                  <w:divsChild>
                    <w:div w:id="1389065517">
                      <w:marLeft w:val="0"/>
                      <w:marRight w:val="0"/>
                      <w:marTop w:val="150"/>
                      <w:marBottom w:val="0"/>
                      <w:divBdr>
                        <w:top w:val="none" w:sz="0" w:space="0" w:color="auto"/>
                        <w:left w:val="none" w:sz="0" w:space="0" w:color="auto"/>
                        <w:bottom w:val="none" w:sz="0" w:space="0" w:color="auto"/>
                        <w:right w:val="none" w:sz="0" w:space="0" w:color="auto"/>
                      </w:divBdr>
                      <w:divsChild>
                        <w:div w:id="1528912905">
                          <w:marLeft w:val="0"/>
                          <w:marRight w:val="0"/>
                          <w:marTop w:val="0"/>
                          <w:marBottom w:val="300"/>
                          <w:divBdr>
                            <w:top w:val="none" w:sz="0" w:space="0" w:color="auto"/>
                            <w:left w:val="none" w:sz="0" w:space="0" w:color="auto"/>
                            <w:bottom w:val="none" w:sz="0" w:space="0" w:color="auto"/>
                            <w:right w:val="none" w:sz="0" w:space="0" w:color="auto"/>
                          </w:divBdr>
                        </w:div>
                        <w:div w:id="18074281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gov.wales/topics/housing-and-regeneration/services-and-support/regulation/regulatory-assessment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ov.wales/topics/housing-and-regeneration/services-and-support/regulation/?lang=en" TargetMode="External"/><Relationship Id="rId5" Type="http://schemas.openxmlformats.org/officeDocument/2006/relationships/image" Target="media/image1.jpeg"/><Relationship Id="rId10" Type="http://schemas.openxmlformats.org/officeDocument/2006/relationships/hyperlink" Target="http://www.tpas.cymru/blog/the-regulatory-board-for-wales-a-tenant-overview" TargetMode="External"/><Relationship Id="rId4" Type="http://schemas.openxmlformats.org/officeDocument/2006/relationships/webSettings" Target="webSettings.xml"/><Relationship Id="rId9" Type="http://schemas.openxmlformats.org/officeDocument/2006/relationships/hyperlink" Target="http://www.tpas.cymru/about/tenant-pul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david.lloyd</dc:creator>
  <cp:lastModifiedBy>Iona Robertson</cp:lastModifiedBy>
  <cp:revision>6</cp:revision>
  <dcterms:created xsi:type="dcterms:W3CDTF">2017-10-10T08:36:00Z</dcterms:created>
  <dcterms:modified xsi:type="dcterms:W3CDTF">2017-10-11T08:24:00Z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A17791648</vt:lpwstr>
  </property>
  <property fmtid="{D5CDD505-2E9C-101B-9397-08002B2CF9AE}" pid="4" name="Objective-Title">
    <vt:lpwstr>Tenant Voice RBW Communication - text - March 2017 - from David Lloyd</vt:lpwstr>
  </property>
  <property fmtid="{D5CDD505-2E9C-101B-9397-08002B2CF9AE}" pid="5" name="Objective-Comment">
    <vt:lpwstr/>
  </property>
  <property fmtid="{D5CDD505-2E9C-101B-9397-08002B2CF9AE}" pid="6" name="Objective-CreationStamp">
    <vt:filetime>2017-04-24T20:24:55Z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2017-04-24T20:25:02Z</vt:filetime>
  </property>
  <property fmtid="{D5CDD505-2E9C-101B-9397-08002B2CF9AE}" pid="10" name="Objective-ModificationStamp">
    <vt:filetime>2017-04-24T20:25:02Z</vt:filetime>
  </property>
  <property fmtid="{D5CDD505-2E9C-101B-9397-08002B2CF9AE}" pid="11" name="Objective-Owner">
    <vt:lpwstr>Round, Maria (EPS - Housing Policy)</vt:lpwstr>
  </property>
  <property fmtid="{D5CDD505-2E9C-101B-9397-08002B2CF9AE}" pid="12" name="Objective-Path">
    <vt:lpwstr>Objective Global Folder:Corporate File Plan:WORKING WITH STAKEHOLDERS:Working with Stakeholders - Third Sector Organisations:Working with Stakeholders - Third Sector - Housing Associations - Capital Funded:Regulatory Board for Wales - Housing Regulation -</vt:lpwstr>
  </property>
  <property fmtid="{D5CDD505-2E9C-101B-9397-08002B2CF9AE}" pid="13" name="Objective-Parent">
    <vt:lpwstr>Making It Work Steering Group - March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